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20" w:lineRule="exact"/>
        <w:rPr>
          <w:rFonts w:ascii="仿宋_GB2312" w:hAnsi="仿宋_GB2312" w:eastAsia="仿宋_GB2312" w:cs="仿宋_GB2312"/>
          <w:b/>
          <w:bCs/>
          <w:sz w:val="24"/>
        </w:rPr>
      </w:pPr>
    </w:p>
    <w:p>
      <w:pPr>
        <w:spacing w:after="156" w:afterLines="50" w:line="320" w:lineRule="exact"/>
        <w:rPr>
          <w:rFonts w:ascii="仿宋_GB2312" w:hAnsi="仿宋_GB2312" w:eastAsia="仿宋_GB2312" w:cs="仿宋_GB2312"/>
          <w:b/>
          <w:bCs/>
          <w:sz w:val="24"/>
        </w:rPr>
      </w:pPr>
    </w:p>
    <w:p>
      <w:pPr>
        <w:spacing w:after="156" w:afterLines="50" w:line="500" w:lineRule="exact"/>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阿克苏职业技术学院办学能力评价</w:t>
      </w:r>
    </w:p>
    <w:p>
      <w:pPr>
        <w:spacing w:after="156" w:afterLines="50" w:line="500" w:lineRule="exact"/>
        <w:jc w:val="center"/>
        <w:rPr>
          <w:rFonts w:ascii="方正小标宋简体" w:hAnsi="方正小标宋简体" w:eastAsia="方正小标宋简体" w:cs="方正小标宋简体"/>
          <w:sz w:val="32"/>
          <w:szCs w:val="32"/>
        </w:rPr>
      </w:pPr>
    </w:p>
    <w:p>
      <w:pPr>
        <w:spacing w:after="156" w:afterLines="50" w:line="500" w:lineRule="exact"/>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应</w:t>
      </w:r>
    </w:p>
    <w:p>
      <w:pPr>
        <w:spacing w:after="156" w:afterLines="50" w:line="500" w:lineRule="exact"/>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知</w:t>
      </w:r>
    </w:p>
    <w:p>
      <w:pPr>
        <w:spacing w:after="156" w:afterLines="50" w:line="500" w:lineRule="exact"/>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应</w:t>
      </w:r>
    </w:p>
    <w:p>
      <w:pPr>
        <w:spacing w:after="156" w:afterLines="50" w:line="500" w:lineRule="exact"/>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会</w:t>
      </w:r>
    </w:p>
    <w:p>
      <w:pPr>
        <w:spacing w:after="156" w:afterLines="50" w:line="500" w:lineRule="exact"/>
        <w:rPr>
          <w:rFonts w:ascii="方正小标宋简体" w:hAnsi="方正小标宋简体" w:eastAsia="方正小标宋简体" w:cs="方正小标宋简体"/>
          <w:sz w:val="32"/>
          <w:szCs w:val="32"/>
        </w:rPr>
      </w:pPr>
    </w:p>
    <w:p>
      <w:pPr>
        <w:spacing w:after="156" w:afterLines="50" w:line="320" w:lineRule="exact"/>
        <w:rPr>
          <w:rFonts w:ascii="仿宋_GB2312" w:hAnsi="仿宋_GB2312" w:eastAsia="仿宋_GB2312" w:cs="仿宋_GB2312"/>
          <w:b/>
          <w:bCs/>
          <w:sz w:val="24"/>
        </w:rPr>
      </w:pPr>
    </w:p>
    <w:p>
      <w:pPr>
        <w:spacing w:after="156" w:afterLines="50" w:line="320" w:lineRule="exact"/>
        <w:rPr>
          <w:rFonts w:ascii="仿宋_GB2312" w:hAnsi="仿宋_GB2312" w:eastAsia="仿宋_GB2312" w:cs="仿宋_GB2312"/>
          <w:b/>
          <w:bCs/>
          <w:sz w:val="24"/>
        </w:rPr>
      </w:pPr>
    </w:p>
    <w:p>
      <w:pPr>
        <w:spacing w:after="156" w:afterLines="50" w:line="320" w:lineRule="exact"/>
        <w:rPr>
          <w:rFonts w:ascii="仿宋_GB2312" w:hAnsi="仿宋_GB2312" w:eastAsia="仿宋_GB2312" w:cs="仿宋_GB2312"/>
          <w:b/>
          <w:bCs/>
          <w:sz w:val="24"/>
        </w:rPr>
      </w:pPr>
    </w:p>
    <w:p>
      <w:pPr>
        <w:spacing w:after="156" w:afterLines="50" w:line="320" w:lineRule="exact"/>
        <w:jc w:val="center"/>
        <w:outlineLvl w:val="0"/>
        <w:rPr>
          <w:rFonts w:ascii="仿宋_GB2312" w:hAnsi="仿宋_GB2312" w:eastAsia="仿宋_GB2312" w:cs="仿宋_GB2312"/>
          <w:b/>
          <w:bCs/>
          <w:sz w:val="24"/>
        </w:rPr>
      </w:pPr>
      <w:r>
        <w:rPr>
          <w:rFonts w:hint="eastAsia" w:ascii="仿宋_GB2312" w:hAnsi="仿宋_GB2312" w:eastAsia="仿宋_GB2312" w:cs="仿宋_GB2312"/>
          <w:b/>
          <w:bCs/>
          <w:sz w:val="24"/>
        </w:rPr>
        <w:t>阿克苏职业技术学院宣传部（统战部）</w:t>
      </w:r>
    </w:p>
    <w:p>
      <w:pPr>
        <w:spacing w:after="156" w:afterLines="50" w:line="320" w:lineRule="exact"/>
        <w:jc w:val="center"/>
        <w:outlineLvl w:val="0"/>
        <w:rPr>
          <w:rFonts w:ascii="仿宋_GB2312" w:hAnsi="仿宋_GB2312" w:eastAsia="仿宋_GB2312" w:cs="仿宋_GB2312"/>
          <w:b/>
          <w:bCs/>
          <w:sz w:val="24"/>
        </w:rPr>
      </w:pPr>
      <w:r>
        <w:rPr>
          <w:rFonts w:hint="eastAsia" w:ascii="仿宋_GB2312" w:hAnsi="仿宋_GB2312" w:eastAsia="仿宋_GB2312" w:cs="仿宋_GB2312"/>
          <w:b/>
          <w:bCs/>
          <w:sz w:val="24"/>
        </w:rPr>
        <w:t>二〇二五年十一月</w:t>
      </w:r>
    </w:p>
    <w:p>
      <w:pPr>
        <w:spacing w:after="156" w:afterLines="50" w:line="320" w:lineRule="exact"/>
        <w:rPr>
          <w:rFonts w:ascii="黑体" w:hAnsi="黑体" w:eastAsia="黑体" w:cs="黑体"/>
          <w:b/>
          <w:bCs/>
          <w:sz w:val="24"/>
        </w:rPr>
        <w:sectPr>
          <w:pgSz w:w="7314" w:h="10376"/>
          <w:pgMar w:top="873" w:right="669" w:bottom="873" w:left="669" w:header="851" w:footer="992" w:gutter="0"/>
          <w:cols w:space="0" w:num="1"/>
          <w:docGrid w:type="lines" w:linePitch="312" w:charSpace="0"/>
        </w:sectPr>
      </w:pPr>
    </w:p>
    <w:p>
      <w:pPr>
        <w:spacing w:after="156" w:afterLines="50"/>
        <w:jc w:val="center"/>
        <w:outlineLvl w:val="0"/>
        <w:rPr>
          <w:rFonts w:ascii="黑体" w:hAnsi="黑体" w:eastAsia="黑体" w:cs="仿宋_GB2312"/>
          <w:bCs/>
          <w:sz w:val="24"/>
        </w:rPr>
      </w:pPr>
      <w:r>
        <w:rPr>
          <w:rFonts w:hint="eastAsia" w:ascii="黑体" w:hAnsi="黑体" w:eastAsia="黑体" w:cs="仿宋_GB2312"/>
          <w:bCs/>
          <w:sz w:val="24"/>
        </w:rPr>
        <w:t>前  言</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深入贯彻党的二十届二中、三中、四中全会和习近平总书记在全国教育大会上的重要讲话精神，落实中共中央、国务院《教育强国建设规划纲要（2024—2035年）》《深化新时代教育评价改革总体方案》有关部署和要求，建立健全学院督导评估体系，提升办学能力，根据《教育部关于印发〈高等职业学校办学能力评价实施方案（2025—2030年）〉的通知》和《关于印发〈新</w:t>
      </w:r>
      <w:bookmarkStart w:id="0" w:name="OLE_LINK1"/>
      <w:bookmarkStart w:id="1" w:name="OLE_LINK2"/>
      <w:r>
        <w:rPr>
          <w:rFonts w:hint="eastAsia" w:ascii="仿宋_GB2312" w:hAnsi="仿宋_GB2312" w:eastAsia="仿宋_GB2312" w:cs="仿宋_GB2312"/>
          <w:sz w:val="24"/>
        </w:rPr>
        <w:t>疆维吾尔自治区高等职业学校办学能力评价实施方案</w:t>
      </w:r>
      <w:bookmarkEnd w:id="0"/>
      <w:bookmarkEnd w:id="1"/>
      <w:r>
        <w:rPr>
          <w:rFonts w:hint="eastAsia" w:ascii="仿宋_GB2312" w:hAnsi="仿宋_GB2312" w:eastAsia="仿宋_GB2312" w:cs="仿宋_GB2312"/>
          <w:sz w:val="24"/>
        </w:rPr>
        <w:t>（2025—2030年）（试行）〉的通知》等文件要求，学院将于2026年接受自治区办学能力评价，评价范围涵盖办学条件监测与教育教学关键要素评估两大核心内容，旨在通过以评定向、以评促建、以评督改、提质增效，全面提升学院办学水平与人才培养质量，引导学院内涵发展、特色发展、创新发展，以适配新质生产力成长和现代产业体系建设。</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jc w:val="center"/>
        <w:rPr>
          <w:rFonts w:ascii="黑体" w:hAnsi="黑体" w:eastAsia="黑体" w:cs="仿宋_GB2312"/>
          <w:sz w:val="24"/>
        </w:rPr>
      </w:pPr>
      <w:bookmarkStart w:id="2" w:name="OLE_LINK3"/>
      <w:bookmarkStart w:id="3" w:name="OLE_LINK4"/>
      <w:r>
        <w:rPr>
          <w:rFonts w:hint="eastAsia" w:ascii="黑体" w:hAnsi="黑体" w:eastAsia="黑体" w:cs="仿宋_GB2312"/>
          <w:sz w:val="24"/>
        </w:rPr>
        <w:t>第一部分</w:t>
      </w:r>
      <w:bookmarkEnd w:id="2"/>
      <w:bookmarkEnd w:id="3"/>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办学能力评价是对学校办学质量的全方位检验，更是推动学校高质量发展的重要契机。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全体教师需以饱满的工作热情、扎实的工作作风，全力以赴、精益求精，确保学校办学能力评价工作取得圆满完成，奋力开创学校高质量发展新局面！</w:t>
      </w:r>
    </w:p>
    <w:p>
      <w:pPr>
        <w:spacing w:line="360" w:lineRule="auto"/>
        <w:ind w:firstLine="472" w:firstLineChars="196"/>
        <w:outlineLvl w:val="0"/>
        <w:rPr>
          <w:rFonts w:ascii="仿宋_GB2312" w:hAnsi="仿宋_GB2312" w:eastAsia="仿宋_GB2312" w:cs="仿宋_GB2312"/>
          <w:b/>
          <w:sz w:val="24"/>
        </w:rPr>
      </w:pPr>
      <w:r>
        <w:rPr>
          <w:rFonts w:hint="eastAsia" w:ascii="仿宋_GB2312" w:hAnsi="仿宋_GB2312" w:eastAsia="仿宋_GB2312" w:cs="仿宋_GB2312"/>
          <w:b/>
          <w:sz w:val="24"/>
        </w:rPr>
        <w:t>一、什么是办学能力评价？</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办学能力评价是对学校在精准契合国家办学导向、紧密对接区域产业发展需求、充分满足学生个性发展需要的基础上，自主确立办学定位，整合校内外人、财、物等办学资源，实现高质量人才培养、社会服务及产业深度对接能力的综合性评估。</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二、为什么要参与办学能力评价？</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按照教育部“2030年前所有高等职业学校应评尽评”的工作要求，我区计划所有高职类院校需在2030年11月底前完成全部评估任务。</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学校参与办学能力评价，核心目标是实现“以评定向、以评促建、以评督改、提质增强”。这既是一次全面的“自我体检”，更是推动学校发展的战略机遇。通过系统评估，主动对标先进、查找弱项短板、彰显办学特色，有针对性地优化资源配置、深化改革创新。</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三、为什么说办学能力评价是全校性的工作？</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办学能力评价覆盖专业建设、课程体系、师资队伍、学生发展等办学全领域、全环节，需全校各部门协同联动、全员参与。它不仅是对学校全员育人成效的综合检验，更为学校优化教学管理、提升办学水平提供科学依据，最终实现“以评促建、以评促强”的发展目标。</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四、办学能力评价的对象是什么？</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我区高等职业学校办学能力评价适用对象是经批准独立设置的专科层次高等职业学校（本科层次职业学校高职专业参加办学条件监测）。</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五、办学能力评价的核心具体内容？</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主要包括两大板块：一是办学条件监测，二是教学工作评估。</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六、办学条件监测包括哪些指标？</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办学条件监测指标包括校园建设、教学条件、师资队伍、经费保障等4个一级指标，细化为21个二级指标和46个监测要点（基本监测点25个，动态监测点21个）。监测结果将作为高等职业学校教学评估的重要方面和后续整改的重要依据。</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七、教学工作评估包括哪些指标？</w:t>
      </w:r>
    </w:p>
    <w:p>
      <w:pPr>
        <w:spacing w:line="360" w:lineRule="auto"/>
        <w:ind w:firstLine="480" w:firstLineChars="200"/>
        <w:rPr>
          <w:rFonts w:ascii="仿宋_GB2312" w:hAnsi="仿宋_GB2312" w:eastAsia="仿宋_GB2312" w:cs="仿宋_GB2312"/>
          <w:b/>
          <w:sz w:val="24"/>
          <w:highlight w:val="none"/>
        </w:rPr>
      </w:pPr>
      <w:r>
        <w:rPr>
          <w:rFonts w:hint="eastAsia" w:ascii="仿宋_GB2312" w:hAnsi="仿宋_GB2312" w:eastAsia="仿宋_GB2312" w:cs="仿宋_GB2312"/>
          <w:sz w:val="24"/>
          <w:highlight w:val="none"/>
        </w:rPr>
        <w:t>评估指标包括专业、课程、教材、师资、实训实习和其他等6个一级要素，细化为16个二级要素和30个观测点，将人才培养与产教融合、地域服务与行业对接、技能培养与就业导向、教育家精神引领队伍建设等要求，贯穿各关键要素，融入主要考察内容。</w:t>
      </w:r>
    </w:p>
    <w:p>
      <w:pPr>
        <w:spacing w:line="360" w:lineRule="auto"/>
        <w:ind w:firstLine="482" w:firstLineChars="200"/>
        <w:outlineLvl w:val="0"/>
        <w:rPr>
          <w:rFonts w:ascii="仿宋_GB2312" w:hAnsi="仿宋_GB2312" w:eastAsia="仿宋_GB2312" w:cs="仿宋_GB2312"/>
          <w:b/>
          <w:sz w:val="24"/>
        </w:rPr>
      </w:pPr>
      <w:r>
        <w:rPr>
          <w:rFonts w:hint="eastAsia" w:ascii="仿宋_GB2312" w:hAnsi="仿宋_GB2312" w:eastAsia="仿宋_GB2312" w:cs="仿宋_GB2312"/>
          <w:b/>
          <w:sz w:val="24"/>
        </w:rPr>
        <w:t>八、办学能力评价的实施程序？</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highlight w:val="none"/>
        </w:rPr>
        <w:t>我区评估工作包括学校申请、学校自评、专家评估与考察、结论反馈与公布、结果应用、整改及核查六个</w:t>
      </w:r>
      <w:r>
        <w:rPr>
          <w:rFonts w:hint="eastAsia" w:ascii="仿宋_GB2312" w:hAnsi="仿宋_GB2312" w:eastAsia="仿宋_GB2312" w:cs="仿宋_GB2312"/>
          <w:sz w:val="24"/>
        </w:rPr>
        <w:t>阶段。</w:t>
      </w:r>
    </w:p>
    <w:p>
      <w:pPr>
        <w:spacing w:line="360" w:lineRule="auto"/>
        <w:ind w:firstLine="482" w:firstLineChars="200"/>
        <w:outlineLvl w:val="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九、办学能力评价的认定结论？</w:t>
      </w:r>
    </w:p>
    <w:p>
      <w:pPr>
        <w:spacing w:line="360" w:lineRule="auto"/>
        <w:ind w:firstLine="480" w:firstLineChars="20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依据《新疆维吾尔自治区高等职业学校办学能力评价实施方案（试行）》中观测点合格情况（观测点的考察结果分为“合格”“基本合格”“不合格”三种），</w:t>
      </w:r>
      <w:r>
        <w:rPr>
          <w:rFonts w:hint="eastAsia" w:ascii="仿宋_GB2312" w:hAnsi="仿宋_GB2312" w:eastAsia="仿宋_GB2312" w:cs="仿宋_GB2312"/>
          <w:color w:val="000000" w:themeColor="text1"/>
          <w:sz w:val="24"/>
          <w14:textFill>
            <w14:solidFill>
              <w14:schemeClr w14:val="tx1"/>
            </w14:solidFill>
          </w14:textFill>
        </w:rPr>
        <w:t>确定“通过”“待复评”“暂缓通过”三种评估结论。</w:t>
      </w:r>
    </w:p>
    <w:p>
      <w:pPr>
        <w:spacing w:line="360" w:lineRule="auto"/>
        <w:ind w:firstLine="482" w:firstLineChars="200"/>
        <w:outlineLvl w:val="0"/>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十、办学能力评价的结果如何应用？</w:t>
      </w:r>
    </w:p>
    <w:p>
      <w:pPr>
        <w:spacing w:line="360" w:lineRule="auto"/>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于监测和评估结果，将帮助学校总结提升办学特色，推广先进办学经验，并指导督促学校持续改善办学条件、加强内涵建设、不断提升人才培养质量和服务经济社会发展能力。同时，评价结果和整改情况纳入增值性评价考核，与专业设置、项目和经费支持、招生计划等挂钩。</w:t>
      </w:r>
    </w:p>
    <w:p>
      <w:pPr>
        <w:spacing w:line="360" w:lineRule="auto"/>
        <w:jc w:val="center"/>
        <w:outlineLvl w:val="0"/>
        <w:rPr>
          <w:rFonts w:ascii="黑体" w:hAnsi="黑体" w:eastAsia="黑体" w:cs="仿宋_GB2312"/>
          <w:color w:val="000000" w:themeColor="text1"/>
          <w:sz w:val="24"/>
          <w14:textFill>
            <w14:solidFill>
              <w14:schemeClr w14:val="tx1"/>
            </w14:solidFill>
          </w14:textFill>
        </w:rPr>
      </w:pPr>
      <w:bookmarkStart w:id="4" w:name="OLE_LINK6"/>
      <w:bookmarkStart w:id="5" w:name="OLE_LINK5"/>
      <w:r>
        <w:rPr>
          <w:rFonts w:hint="eastAsia" w:ascii="黑体" w:hAnsi="黑体" w:eastAsia="黑体" w:cs="仿宋_GB2312"/>
          <w:color w:val="000000" w:themeColor="text1"/>
          <w:sz w:val="24"/>
          <w14:textFill>
            <w14:solidFill>
              <w14:schemeClr w14:val="tx1"/>
            </w14:solidFill>
          </w14:textFill>
        </w:rPr>
        <w:t>第二部分 学生篇</w:t>
      </w:r>
    </w:p>
    <w:bookmarkEnd w:id="4"/>
    <w:bookmarkEnd w:id="5"/>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办学能力评价是对我校办学质量的全面检验，更是推动学校实现内涵</w:t>
      </w:r>
      <w:r>
        <w:rPr>
          <w:rFonts w:hint="eastAsia" w:ascii="仿宋_GB2312" w:hAnsi="仿宋_GB2312" w:eastAsia="仿宋_GB2312" w:cs="仿宋_GB2312"/>
          <w:sz w:val="24"/>
        </w:rPr>
        <w:t>式发展、提升人才培养质量的重要契机。作为学校发展的“主人翁”，每一位阿职院学子都需深刻认识评价工作的重要意义，以积极态度、扎实行动迎接评价，共同展现阿职院风采，助力学校高质量发展！</w:t>
      </w:r>
    </w:p>
    <w:p>
      <w:pPr>
        <w:spacing w:line="360" w:lineRule="auto"/>
        <w:ind w:firstLine="472" w:firstLineChars="196"/>
        <w:outlineLvl w:val="1"/>
        <w:rPr>
          <w:rFonts w:ascii="仿宋_GB2312" w:hAnsi="仿宋_GB2312" w:eastAsia="仿宋_GB2312" w:cs="仿宋_GB2312"/>
          <w:b/>
          <w:sz w:val="24"/>
        </w:rPr>
      </w:pPr>
      <w:r>
        <w:rPr>
          <w:rFonts w:hint="eastAsia" w:ascii="仿宋_GB2312" w:hAnsi="仿宋_GB2312" w:eastAsia="仿宋_GB2312" w:cs="仿宋_GB2312"/>
          <w:b/>
          <w:sz w:val="24"/>
        </w:rPr>
        <w:t>一、什么是办学能力评价？</w:t>
      </w:r>
    </w:p>
    <w:p>
      <w:pPr>
        <w:spacing w:line="360" w:lineRule="auto"/>
        <w:jc w:val="center"/>
        <w:rPr>
          <w:rFonts w:ascii="仿宋_GB2312" w:hAnsi="仿宋_GB2312" w:eastAsia="仿宋_GB2312" w:cs="仿宋_GB2312"/>
          <w:b/>
          <w:sz w:val="24"/>
        </w:rPr>
      </w:pPr>
    </w:p>
    <w:p>
      <w:pPr>
        <w:spacing w:line="360" w:lineRule="auto"/>
        <w:jc w:val="center"/>
        <w:rPr>
          <w:rFonts w:ascii="仿宋_GB2312" w:hAnsi="仿宋_GB2312" w:eastAsia="仿宋_GB2312" w:cs="仿宋_GB2312"/>
          <w:b/>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办学能力评价是对学校在精准契合国家办学导向、紧密对接区域产业发展需求、充分满足学生个性发展需要的基础上，自主确立办学定位，整合校内外人、财、物等办学资源，实现高质量人才培养、社会服务及产业深度对接能力的综合性评估。</w:t>
      </w:r>
    </w:p>
    <w:p>
      <w:pPr>
        <w:spacing w:line="360" w:lineRule="auto"/>
        <w:ind w:firstLine="482" w:firstLineChars="200"/>
        <w:outlineLvl w:val="1"/>
        <w:rPr>
          <w:rFonts w:ascii="仿宋_GB2312" w:hAnsi="仿宋_GB2312" w:eastAsia="仿宋_GB2312" w:cs="仿宋_GB2312"/>
          <w:sz w:val="24"/>
        </w:rPr>
      </w:pPr>
      <w:r>
        <w:rPr>
          <w:rFonts w:hint="eastAsia" w:ascii="仿宋_GB2312" w:hAnsi="仿宋_GB2312" w:eastAsia="仿宋_GB2312" w:cs="仿宋_GB2312"/>
          <w:b/>
          <w:sz w:val="24"/>
        </w:rPr>
        <w:t>二、为什么要参与办学能力评价？</w:t>
      </w:r>
    </w:p>
    <w:p>
      <w:pPr>
        <w:spacing w:line="360" w:lineRule="auto"/>
        <w:ind w:firstLine="470" w:firstLineChars="196"/>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按照教</w:t>
      </w:r>
      <w:r>
        <w:rPr>
          <w:rFonts w:hint="eastAsia" w:ascii="仿宋_GB2312" w:hAnsi="仿宋_GB2312" w:eastAsia="仿宋_GB2312" w:cs="仿宋_GB2312"/>
          <w:color w:val="000000" w:themeColor="text1"/>
          <w:sz w:val="24"/>
          <w14:textFill>
            <w14:solidFill>
              <w14:schemeClr w14:val="tx1"/>
            </w14:solidFill>
          </w14:textFill>
        </w:rPr>
        <w:t>育部“2030年前所有高等职业学校应评尽评”的工作要求，新疆维吾尔自治区计划所有高职类院校需在2030年11月底前完成全部评估任务。</w:t>
      </w:r>
    </w:p>
    <w:p>
      <w:pPr>
        <w:spacing w:line="360" w:lineRule="auto"/>
        <w:ind w:firstLine="470" w:firstLineChars="196"/>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校参与办学能力评价，核心目标是实现“以评定向、以评促建、以评督改、提质增强”。这既是一次全面的“自我体检”，更是推动学校发展的战略机遇。通过系统评估，主动对标先进、查找弱项短板、彰显办学特色，有针对性地优化资源配置、深化改革创新。</w:t>
      </w:r>
    </w:p>
    <w:p>
      <w:pPr>
        <w:spacing w:line="360" w:lineRule="auto"/>
        <w:ind w:firstLine="472" w:firstLineChars="196"/>
        <w:outlineLvl w:val="1"/>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三、评价对阿职院学子有何直接意义？</w:t>
      </w:r>
    </w:p>
    <w:p>
      <w:pPr>
        <w:spacing w:line="360" w:lineRule="auto"/>
        <w:ind w:firstLine="470" w:firstLineChars="196"/>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评价的最大受益者是广大学生，具体体现在3个方面：</w:t>
      </w:r>
    </w:p>
    <w:p>
      <w:pPr>
        <w:spacing w:line="360" w:lineRule="auto"/>
        <w:ind w:firstLine="482"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学习环境更优质：</w:t>
      </w:r>
      <w:r>
        <w:rPr>
          <w:rFonts w:hint="eastAsia" w:ascii="仿宋_GB2312" w:hAnsi="仿宋_GB2312" w:eastAsia="仿宋_GB2312" w:cs="仿宋_GB2312"/>
          <w:color w:val="000000" w:themeColor="text1"/>
          <w:sz w:val="24"/>
          <w14:textFill>
            <w14:solidFill>
              <w14:schemeClr w14:val="tx1"/>
            </w14:solidFill>
          </w14:textFill>
        </w:rPr>
        <w:t>评价将推动学校加大教学投入，如升级多媒体教室、实训室等硬件设施，改善宿舍、食堂等生活环境，为大家提供更舒适、便捷的学习生活保障。</w:t>
      </w:r>
    </w:p>
    <w:p>
      <w:pPr>
        <w:spacing w:line="360" w:lineRule="auto"/>
        <w:ind w:firstLine="482"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成长资源更充足：</w:t>
      </w:r>
      <w:r>
        <w:rPr>
          <w:rFonts w:hint="eastAsia" w:ascii="仿宋_GB2312" w:hAnsi="仿宋_GB2312" w:eastAsia="仿宋_GB2312" w:cs="仿宋_GB2312"/>
          <w:color w:val="000000" w:themeColor="text1"/>
          <w:sz w:val="24"/>
          <w14:textFill>
            <w14:solidFill>
              <w14:schemeClr w14:val="tx1"/>
            </w14:solidFill>
          </w14:textFill>
        </w:rPr>
        <w:t>为达标评估要求，学校会进一步加强教师队伍建设、拓展校企合作实训基地、丰富课程资源，助力大家提升专业技能。</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color w:val="000000" w:themeColor="text1"/>
          <w:sz w:val="24"/>
          <w14:textFill>
            <w14:solidFill>
              <w14:schemeClr w14:val="tx1"/>
            </w14:solidFill>
          </w14:textFill>
        </w:rPr>
        <w:t>就业竞争力更强：</w:t>
      </w:r>
      <w:r>
        <w:rPr>
          <w:rFonts w:hint="eastAsia" w:ascii="仿宋_GB2312" w:hAnsi="仿宋_GB2312" w:eastAsia="仿宋_GB2312" w:cs="仿宋_GB2312"/>
          <w:color w:val="000000" w:themeColor="text1"/>
          <w:sz w:val="24"/>
          <w14:textFill>
            <w14:solidFill>
              <w14:schemeClr w14:val="tx1"/>
            </w14:solidFill>
          </w14:textFill>
        </w:rPr>
        <w:t>学校会根据评估要求优化专业设置、强化实践教学，帮助大家掌握符合</w:t>
      </w:r>
      <w:r>
        <w:rPr>
          <w:rFonts w:hint="eastAsia" w:ascii="仿宋_GB2312" w:hAnsi="仿宋_GB2312" w:eastAsia="仿宋_GB2312" w:cs="仿宋_GB2312"/>
          <w:color w:val="000000" w:themeColor="text1"/>
          <w:sz w:val="24"/>
          <w:lang w:eastAsia="zh-CN"/>
          <w14:textFill>
            <w14:solidFill>
              <w14:schemeClr w14:val="tx1"/>
            </w14:solidFill>
          </w14:textFill>
        </w:rPr>
        <w:t>新疆维吾尔自治区十大</w:t>
      </w:r>
      <w:r>
        <w:rPr>
          <w:rFonts w:hint="eastAsia" w:ascii="仿宋_GB2312" w:hAnsi="仿宋_GB2312" w:eastAsia="仿宋_GB2312" w:cs="仿宋_GB2312"/>
          <w:color w:val="000000" w:themeColor="text1"/>
          <w:sz w:val="24"/>
          <w14:textFill>
            <w14:solidFill>
              <w14:schemeClr w14:val="tx1"/>
            </w14:solidFill>
          </w14:textFill>
        </w:rPr>
        <w:t>产业需求的技能，</w:t>
      </w:r>
      <w:r>
        <w:rPr>
          <w:rFonts w:hint="eastAsia" w:ascii="仿宋_GB2312" w:hAnsi="仿宋_GB2312" w:eastAsia="仿宋_GB2312" w:cs="仿宋_GB2312"/>
          <w:sz w:val="24"/>
        </w:rPr>
        <w:t>让未来就业更有优势。</w:t>
      </w:r>
    </w:p>
    <w:p>
      <w:pPr>
        <w:spacing w:line="360" w:lineRule="auto"/>
        <w:ind w:firstLine="482" w:firstLineChars="200"/>
        <w:outlineLvl w:val="1"/>
        <w:rPr>
          <w:rFonts w:ascii="仿宋_GB2312" w:hAnsi="仿宋_GB2312" w:eastAsia="仿宋_GB2312" w:cs="仿宋_GB2312"/>
          <w:sz w:val="24"/>
        </w:rPr>
      </w:pPr>
      <w:r>
        <w:rPr>
          <w:rFonts w:hint="eastAsia" w:ascii="仿宋_GB2312" w:hAnsi="仿宋_GB2312" w:eastAsia="仿宋_GB2312" w:cs="仿宋_GB2312"/>
          <w:b/>
          <w:sz w:val="24"/>
        </w:rPr>
        <w:t>四、我们该如何以实际行动参与评价？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作为评估的 “直接参与者” 和学校形象的 “代言人”，建议大家从“十个做到”入手，展现阿职院学子的良好风貌：</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课堂做到“零干扰”：</w:t>
      </w:r>
      <w:r>
        <w:rPr>
          <w:rFonts w:hint="eastAsia" w:ascii="仿宋_GB2312" w:hAnsi="仿宋_GB2312" w:eastAsia="仿宋_GB2312" w:cs="仿宋_GB2312"/>
          <w:sz w:val="24"/>
        </w:rPr>
        <w:t>准时上课不迟到，带齐课本、笔、笔记本“三宝”，前排就座专心听讲，不玩手机、不做与课堂无关的事。</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实训做到“高投入”：</w:t>
      </w:r>
      <w:r>
        <w:rPr>
          <w:rFonts w:hint="eastAsia" w:ascii="仿宋_GB2312" w:hAnsi="仿宋_GB2312" w:eastAsia="仿宋_GB2312" w:cs="仿宋_GB2312"/>
          <w:sz w:val="24"/>
        </w:rPr>
        <w:t>严格遵守实训规程，主动动手实操，爱护实训器材，实训后及时整理工位，在团队协作中提升技能。</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言行做到“显修养”：</w:t>
      </w:r>
      <w:r>
        <w:rPr>
          <w:rFonts w:hint="eastAsia" w:ascii="仿宋_GB2312" w:hAnsi="仿宋_GB2312" w:eastAsia="仿宋_GB2312" w:cs="仿宋_GB2312"/>
          <w:sz w:val="24"/>
        </w:rPr>
        <w:t>校园内举止文明，穿着大方得体；学习场所无抽烟、乱扔垃圾、大声喧哗、打闹等行为；出入楼门、上下电梯文明礼让；就餐自觉排队，践行“光盘行动”。</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宿舍做到“像家园”：</w:t>
      </w:r>
      <w:r>
        <w:rPr>
          <w:rFonts w:hint="eastAsia" w:ascii="仿宋_GB2312" w:hAnsi="仿宋_GB2312" w:eastAsia="仿宋_GB2312" w:cs="仿宋_GB2312"/>
          <w:sz w:val="24"/>
        </w:rPr>
        <w:t>全力打造“文明宿舍”，做到卫生干净、无杂物堆积、被服叠放整齐，不使用违规电器，营造温馨安全的住宿氛围。</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知识做到“心中记”：</w:t>
      </w:r>
      <w:r>
        <w:rPr>
          <w:rFonts w:hint="eastAsia" w:ascii="仿宋_GB2312" w:hAnsi="仿宋_GB2312" w:eastAsia="仿宋_GB2312" w:cs="仿宋_GB2312"/>
          <w:sz w:val="24"/>
        </w:rPr>
        <w:t>熟读本应知应会，了解评估的核心意义、学校的办学定位、优势特色和工作亮点。</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专业做到“门儿清”：</w:t>
      </w:r>
      <w:r>
        <w:rPr>
          <w:rFonts w:hint="eastAsia" w:ascii="仿宋_GB2312" w:hAnsi="仿宋_GB2312" w:eastAsia="仿宋_GB2312" w:cs="仿宋_GB2312"/>
          <w:sz w:val="24"/>
        </w:rPr>
        <w:t>熟悉所学专业的培养目标、核心课程、毕业要求，清楚未来就业方向。</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爱校做到“有担当”：</w:t>
      </w:r>
      <w:r>
        <w:rPr>
          <w:rFonts w:hint="eastAsia" w:ascii="仿宋_GB2312" w:hAnsi="仿宋_GB2312" w:eastAsia="仿宋_GB2312" w:cs="仿宋_GB2312"/>
          <w:sz w:val="24"/>
        </w:rPr>
        <w:t>树立“校兴我荣”的主人翁意识和责任感，不传播负面言论，主动维护学校声誉。</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遇专家做到“礼相迎”：</w:t>
      </w:r>
      <w:r>
        <w:rPr>
          <w:rFonts w:hint="eastAsia" w:ascii="仿宋_GB2312" w:hAnsi="仿宋_GB2312" w:eastAsia="仿宋_GB2312" w:cs="仿宋_GB2312"/>
          <w:sz w:val="24"/>
        </w:rPr>
        <w:t>在校园内遇到评估专家时，主动微笑问好，举止大方不躲闪，如需配合提问，从容回应不慌张。</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座谈做到“善表达”：</w:t>
      </w:r>
      <w:r>
        <w:rPr>
          <w:rFonts w:hint="eastAsia" w:ascii="仿宋_GB2312" w:hAnsi="仿宋_GB2312" w:eastAsia="仿宋_GB2312" w:cs="仿宋_GB2312"/>
          <w:sz w:val="24"/>
        </w:rPr>
        <w:t>若参与专家座谈会或问卷调查，客观反馈学习感受，理性提出建议。</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应答做到“有格局”：</w:t>
      </w:r>
      <w:r>
        <w:rPr>
          <w:rFonts w:hint="eastAsia" w:ascii="仿宋_GB2312" w:hAnsi="仿宋_GB2312" w:eastAsia="仿宋_GB2312" w:cs="仿宋_GB2312"/>
          <w:sz w:val="24"/>
        </w:rPr>
        <w:t>面对专家提问，结合自身感受多谈收获与进步，对于学校的特色、亮点、优势正面客观宣扬；若提建议，从建设性角度出发，聚焦改进提升，不盲目否定或发牢骚。</w:t>
      </w:r>
    </w:p>
    <w:p>
      <w:pPr>
        <w:spacing w:line="360" w:lineRule="auto"/>
        <w:ind w:firstLine="472" w:firstLineChars="196"/>
        <w:outlineLvl w:val="1"/>
        <w:rPr>
          <w:rFonts w:ascii="仿宋_GB2312" w:hAnsi="仿宋_GB2312" w:eastAsia="仿宋_GB2312" w:cs="仿宋_GB2312"/>
          <w:sz w:val="24"/>
        </w:rPr>
      </w:pPr>
      <w:r>
        <w:rPr>
          <w:rFonts w:hint="eastAsia" w:ascii="仿宋_GB2312" w:hAnsi="仿宋_GB2312" w:eastAsia="仿宋_GB2312" w:cs="仿宋_GB2312"/>
          <w:b/>
          <w:sz w:val="24"/>
        </w:rPr>
        <w:t>五、学生与评估专家接触的场合一般有哪些？</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1.专家到教室听课，可能与学生交谈，了解学生听课状态及对教师的评价。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2.专家召开学生座谈会，征求对学校、学院的意见建议，了解专业学习、个人发展及学校资源利用情况。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3.专家到学生食堂吃饭或考察，了解后勤服务和学生生活情况，察看饮食礼仪。</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4.专家察看学生早、晚自习情况。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5.专家察看学生宿舍，了解卫生、用电及生活情况。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6.专家察看学生体育活动情况，了解群体性体育活动、学校体育强项等。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7.专家察看学生社团活动、各类文体活动等。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8.校园公共场合（如道路、图书馆、实训室）与专家路遇。</w:t>
      </w:r>
    </w:p>
    <w:p>
      <w:pPr>
        <w:spacing w:line="360" w:lineRule="auto"/>
        <w:ind w:firstLine="482" w:firstLineChars="200"/>
        <w:outlineLvl w:val="1"/>
        <w:rPr>
          <w:rFonts w:ascii="仿宋_GB2312" w:hAnsi="仿宋_GB2312" w:eastAsia="仿宋_GB2312" w:cs="仿宋_GB2312"/>
          <w:sz w:val="24"/>
        </w:rPr>
      </w:pPr>
      <w:r>
        <w:rPr>
          <w:rFonts w:hint="eastAsia" w:ascii="仿宋_GB2312" w:hAnsi="仿宋_GB2312" w:eastAsia="仿宋_GB2312" w:cs="仿宋_GB2312"/>
          <w:b/>
          <w:sz w:val="24"/>
        </w:rPr>
        <w:t>六、学生访谈中专家可能关注哪些情况？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1.学生对办学能力评价相关知识的了解情况。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2.学生的学习、生活、课外文化活动、社会实践等情况。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3.教室、图书馆、网络、实训设备等学习条件的使用及满意度。</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4.学生对教学管理、学生管理、办学条件、后勤服务等方面的评价。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5.学生对所学专业培养方案、培养目标、毕业要求的了解情况。</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6.学生对教师教学水平、实践经验、职业道德的评价。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7.学生对课程设置、教材选用、实践教学安排的满意度。</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8.学生在理想信念、品德修养、体育、美育、劳动教育等方面的收获。</w:t>
      </w:r>
    </w:p>
    <w:p>
      <w:pPr>
        <w:spacing w:line="360" w:lineRule="auto"/>
        <w:ind w:firstLine="482" w:firstLineChars="200"/>
        <w:outlineLvl w:val="1"/>
        <w:rPr>
          <w:rFonts w:ascii="仿宋_GB2312" w:hAnsi="仿宋_GB2312" w:eastAsia="仿宋_GB2312" w:cs="仿宋_GB2312"/>
          <w:sz w:val="24"/>
        </w:rPr>
      </w:pPr>
      <w:r>
        <w:rPr>
          <w:rFonts w:hint="eastAsia" w:ascii="仿宋_GB2312" w:hAnsi="仿宋_GB2312" w:eastAsia="仿宋_GB2312" w:cs="仿宋_GB2312"/>
          <w:b/>
          <w:sz w:val="24"/>
        </w:rPr>
        <w:t>七、学生需要了解并能回答的关键问题有哪些？</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1.你所学专业的名称是什么？</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2.你是否了解本专业的培养目标、毕业要求和培养方案？通过什么途径了解的？</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3.入学后，相关教师是否对该专业的整体培养方案进行过介绍？</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4.你已学过的专业课有哪些？专业必修课和选修课分别有哪些？对课程设置安排是否满意？</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5.你对专业教材的选用是否满意？</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6.学校的学习氛围如何？课程考试采取哪些形式？</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7.教师在教学中运用多媒体教学的情况如何？你对老师的教学水平和实践经验有何评价？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8.你对教师的职业道德水平是否满意？</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9.你对实践教学的内容和安排是否满意？通过实践环节，能否加深对理论知识的理解？你最喜欢、收益最大的教学形式是什么？</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10.你是否参加过学校（系）组织的假期社会实践活动？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11.学校教室、实验室、图书馆、运动场馆的开放与使用情况如何？</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12.你对学校的伙食、生活条件是否满意？</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13.你在加强理想信念、品德修养方面接受过哪些教育？你的理想信念是什么？如何树立的？</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14.在体育、美育及劳动教育方面，你修过什么课程或参加过哪些活动？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15.你对学校的整体教学服务、师资水平是否满意？对教学质量的总体满意度如何？</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16.你对学校的教育教学工作、管理服务工作有什么建设性的意见建议？</w:t>
      </w:r>
    </w:p>
    <w:p>
      <w:pPr>
        <w:spacing w:line="360" w:lineRule="auto"/>
        <w:jc w:val="center"/>
        <w:outlineLvl w:val="0"/>
        <w:rPr>
          <w:rFonts w:ascii="黑体" w:hAnsi="黑体" w:eastAsia="黑体" w:cs="仿宋_GB2312"/>
          <w:sz w:val="24"/>
        </w:rPr>
      </w:pPr>
      <w:r>
        <w:rPr>
          <w:rFonts w:hint="eastAsia" w:ascii="黑体" w:hAnsi="黑体" w:eastAsia="黑体" w:cs="仿宋_GB2312"/>
          <w:sz w:val="24"/>
        </w:rPr>
        <w:t>第三部分  教学工作评估核心要素篇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教学工作评估是办学能力评价的核心内容，直接关系学校人才培养质量与内涵发展水平。以下为大家梳理教学工作评估核心要素的关键知识点，助力大家全面了解评估重点，共同为学校高质量发展助力！</w:t>
      </w:r>
      <w:r>
        <w:rPr>
          <w:rFonts w:ascii="仿宋_GB2312" w:hAnsi="仿宋_GB2312" w:eastAsia="仿宋_GB2312" w:cs="仿宋_GB2312"/>
          <w:sz w:val="24"/>
        </w:rPr>
        <w:t xml:space="preserve"> </w:t>
      </w:r>
    </w:p>
    <w:p>
      <w:pPr>
        <w:spacing w:line="360" w:lineRule="auto"/>
        <w:ind w:firstLine="472" w:firstLineChars="196"/>
        <w:rPr>
          <w:rFonts w:ascii="仿宋_GB2312" w:hAnsi="仿宋_GB2312" w:eastAsia="仿宋_GB2312" w:cs="仿宋_GB2312"/>
          <w:sz w:val="24"/>
        </w:rPr>
      </w:pPr>
      <w:r>
        <w:rPr>
          <w:rFonts w:hint="eastAsia" w:ascii="仿宋_GB2312" w:hAnsi="仿宋_GB2312" w:eastAsia="仿宋_GB2312" w:cs="仿宋_GB2312"/>
          <w:b/>
          <w:sz w:val="24"/>
        </w:rPr>
        <w:t>一、教学工作评估中，“专业”要素主要考察哪些关键内容？</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核心围绕5个维度考察，</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专业设置科学性，需紧密对接</w:t>
      </w:r>
      <w:r>
        <w:rPr>
          <w:rFonts w:hint="eastAsia" w:ascii="仿宋_GB2312" w:hAnsi="仿宋_GB2312" w:eastAsia="仿宋_GB2312" w:cs="仿宋_GB2312"/>
          <w:color w:val="000000" w:themeColor="text1"/>
          <w:sz w:val="24"/>
          <w14:textFill>
            <w14:solidFill>
              <w14:schemeClr w14:val="tx1"/>
            </w14:solidFill>
          </w14:textFill>
        </w:rPr>
        <w:t>新疆维吾尔自治区十大产业集群，</w:t>
      </w:r>
      <w:r>
        <w:rPr>
          <w:rFonts w:hint="eastAsia" w:ascii="仿宋_GB2312" w:hAnsi="仿宋_GB2312" w:eastAsia="仿宋_GB2312" w:cs="仿宋_GB2312"/>
          <w:sz w:val="24"/>
        </w:rPr>
        <w:t>聚焦重点产业开展“双论证”；</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专业动态调整机制，要有行业企业参与，按国家《专业目录》每3-5年调整优化；</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专业建设规划实施效果，主要专业（群）资源配置、学生规模与办学定位匹配度及社会认可度；</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专业可持续发展能力，是否适应数字化智能化趋势，改造传统专业、开设新专业方向；</w:t>
      </w:r>
      <w:r>
        <w:rPr>
          <w:rFonts w:hint="eastAsia" w:ascii="仿宋_GB2312" w:hAnsi="仿宋_GB2312" w:eastAsia="仿宋_GB2312" w:cs="仿宋_GB2312"/>
          <w:b/>
          <w:bCs/>
          <w:sz w:val="24"/>
        </w:rPr>
        <w:t>五是</w:t>
      </w:r>
      <w:r>
        <w:rPr>
          <w:rFonts w:hint="eastAsia" w:ascii="仿宋_GB2312" w:hAnsi="仿宋_GB2312" w:eastAsia="仿宋_GB2312" w:cs="仿宋_GB2312"/>
          <w:sz w:val="24"/>
        </w:rPr>
        <w:t>专业教学条件保障，包括教学场所、师资队伍、设施设备等是否达标，管理制度是否规范。</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w:t>
      </w:r>
      <w:bookmarkStart w:id="6" w:name="OLE_LINK7"/>
      <w:bookmarkStart w:id="7" w:name="OLE_LINK8"/>
      <w:r>
        <w:rPr>
          <w:rFonts w:hint="eastAsia" w:ascii="仿宋_GB2312" w:hAnsi="仿宋_GB2312" w:eastAsia="仿宋_GB2312" w:cs="仿宋_GB2312"/>
          <w:b/>
          <w:sz w:val="24"/>
        </w:rPr>
        <w:t>学校的人才培养方案需符合哪些国家刚性要求</w:t>
      </w:r>
      <w:bookmarkEnd w:id="6"/>
      <w:bookmarkEnd w:id="7"/>
      <w:r>
        <w:rPr>
          <w:rFonts w:hint="eastAsia" w:ascii="仿宋_GB2312" w:hAnsi="仿宋_GB2312" w:eastAsia="仿宋_GB2312" w:cs="仿宋_GB2312"/>
          <w:b/>
          <w:sz w:val="24"/>
        </w:rPr>
        <w:t>？</w:t>
      </w:r>
    </w:p>
    <w:p>
      <w:pPr>
        <w:spacing w:line="360" w:lineRule="auto"/>
        <w:ind w:firstLine="480" w:firstLineChars="200"/>
        <w:rPr>
          <w:rFonts w:ascii="仿宋_GB2312" w:hAnsi="仿宋_GB2312" w:eastAsia="仿宋_GB2312" w:cs="仿宋_GB2312"/>
          <w:color w:val="C00000"/>
          <w:sz w:val="24"/>
        </w:rPr>
      </w:pPr>
      <w:r>
        <w:rPr>
          <w:rFonts w:hint="eastAsia" w:ascii="仿宋_GB2312" w:hAnsi="仿宋_GB2312" w:eastAsia="仿宋_GB2312" w:cs="仿宋_GB2312"/>
          <w:sz w:val="24"/>
        </w:rPr>
        <w:t>需严格遵循4类核心要求，</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学时底线，三年制高职总学时数不低于2500学时；</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课程结构，公共基础课程学时不少于总学时的1/4，选修课程学时不少于总学时的10%；三</w:t>
      </w:r>
      <w:r>
        <w:rPr>
          <w:rFonts w:hint="eastAsia" w:ascii="仿宋_GB2312" w:hAnsi="仿宋_GB2312" w:eastAsia="仿宋_GB2312" w:cs="仿宋_GB2312"/>
          <w:b/>
          <w:bCs/>
          <w:sz w:val="24"/>
        </w:rPr>
        <w:t>是</w:t>
      </w:r>
      <w:r>
        <w:rPr>
          <w:rFonts w:hint="eastAsia" w:ascii="仿宋_GB2312" w:hAnsi="仿宋_GB2312" w:eastAsia="仿宋_GB2312" w:cs="仿宋_GB2312"/>
          <w:sz w:val="24"/>
        </w:rPr>
        <w:t>实践教学，实践性教学学时原则上占总学时50%以上，学生在实习单位的岗位实习时间一般为6个月；</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质量保障，培养目标明确、内容科学完整、实施规范有序</w:t>
      </w:r>
      <w:r>
        <w:rPr>
          <w:rFonts w:hint="eastAsia" w:ascii="仿宋_GB2312" w:hAnsi="仿宋_GB2312" w:eastAsia="仿宋_GB2312" w:cs="仿宋_GB2312"/>
          <w:color w:val="000000" w:themeColor="text1"/>
          <w:sz w:val="24"/>
          <w14:textFill>
            <w14:solidFill>
              <w14:schemeClr w14:val="tx1"/>
            </w14:solidFill>
          </w14:textFill>
        </w:rPr>
        <w:t>，建立持续改进机制。</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三、评估如何考察学校的“课程”建设质量？</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贯穿课程全流程考察。</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课程设置，以学生全面发展和经济社会需求为导向，符合国家专业教学标准，课程标准要支撑培养目标达成；</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课程结构，公共基础课、专业课、选修课的比例要符合国家规定；</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课程内容，对接职业岗位能力要求，反映企业真实工作任务和新标准、新技术、新工艺，并及时更新；</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教学方法，利用数字技术推行项目教学、案例教学等，专业课程广泛采用“学中做、做中学”的理实一体化模式；</w:t>
      </w:r>
      <w:r>
        <w:rPr>
          <w:rFonts w:hint="eastAsia" w:ascii="仿宋_GB2312" w:hAnsi="仿宋_GB2312" w:eastAsia="仿宋_GB2312" w:cs="仿宋_GB2312"/>
          <w:b/>
          <w:bCs/>
          <w:sz w:val="24"/>
        </w:rPr>
        <w:t>五是</w:t>
      </w:r>
      <w:r>
        <w:rPr>
          <w:rFonts w:hint="eastAsia" w:ascii="仿宋_GB2312" w:hAnsi="仿宋_GB2312" w:eastAsia="仿宋_GB2312" w:cs="仿宋_GB2312"/>
          <w:sz w:val="24"/>
        </w:rPr>
        <w:t>课程思政，深入挖掘行业特色思政元素，与思政课程同向同行。</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四、在“教材”选用与管理上，学校必须坚守的底线和倡导的方向是什么？</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需坚守两条底线，</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管理责任底线，党委对教材工作负总责，建立教材工作委员会和健全的管理制度；</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选用要求底线，使用国家统编思政课教材，优先选用国家与省级规划教材、优秀教材。倡导教材开发与创新，鼓励校企合作开发活页式、工作手册式、融媒体式新型教材，推进数字教材建设，教材内容体现课程思政要求和产业变化，建立教师参与教材研究与建设的激励机制。</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五、评估对“师资”队伍的考察，在满足基本数量配置基础上，更注重哪些深层内涵？</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重点关注4个深层维度，</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师德师风，践行教育家精神，健全师德教育、考核、监督、问责长效机制，坚持师德师风第一标准；</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关键队伍建设，如思政课教师与辅导员不仅要达到配备标准，更要考察其深入参与“一站式”学生社区建设等育人实践的实效；</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专业能力，重点考察专业带头人的行业影响力、专业课教师的企业实践经历落实情况和技能水平；</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发展保障，制定分层分类教师培训计划，提升教师数字素养。</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六、“实习实训”环节的评估，在基地数量之外还包括哪些关键维度？</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核心考察3个维度，</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条件质量与使用效能，包括校内实训设备是否先进充足、管理规范、利用率高，主要专业（群）建有企业真实生产环境的实训基地，校外基地是否稳定有效、能否体现真实生产场景；</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教学过程与内容设计，考察实习岗位与内容是否符合专业培养目标，是否将劳动教育、社会实践融入实习；</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管理规范与安全保障，要求严格执行《职业学校学生实习管理规定》，保障学生权益，建立健全安全管理制度，开展系统的安全知识和劳动保护教育。</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七、评估如何引导学校树立“以就业为导向”的办学理念？</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通过多环节设计落实，</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体制保障，就业工作实现“机构、人员、场地、经费”四到位；</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课程要求，生涯发展与就业指导作为必修课纳入人才培养方案，不少于38学时、2学分；</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能力培养，加强创新创业教育，开拓市场化就业资源；</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帮扶机制，对就业困难群体实施“一对一”帮扶和“三优先”服务；</w:t>
      </w:r>
      <w:r>
        <w:rPr>
          <w:rFonts w:hint="eastAsia" w:ascii="仿宋_GB2312" w:hAnsi="仿宋_GB2312" w:eastAsia="仿宋_GB2312" w:cs="仿宋_GB2312"/>
          <w:b/>
          <w:bCs/>
          <w:sz w:val="24"/>
        </w:rPr>
        <w:t>五是</w:t>
      </w:r>
      <w:r>
        <w:rPr>
          <w:rFonts w:hint="eastAsia" w:ascii="仿宋_GB2312" w:hAnsi="仿宋_GB2312" w:eastAsia="仿宋_GB2312" w:cs="仿宋_GB2312"/>
          <w:sz w:val="24"/>
        </w:rPr>
        <w:t>结果运用，关注初次毕业去向落实率、专业对口率，对就业状况不佳的专业调减招生计划，形成人才培养的闭环管理。</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八、学校的“自评报告”在撰写时需要特别注意哪些要点？</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需把握4个关键要点，</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定位准确，紧扣指标体系，突出办学特色和立德树人成效，而非简单工作总结；</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问题导向，“存在问题、原因分析及改进措施”占比不低于自评结果的1/3，问题要找准、原因要透彻、措施要可行；</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证据充分，用数据和事实支撑观点，数据需与人才培养状态数据平台一致；</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结构规范，严格按规定格式组织内容，逻辑清晰、层次分明。</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九、专家进校“查阅资料”时，希望看到什么样的教学档案和支撑材料？</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专家查阅资料的核心目的是验证自评报告的真实性和追溯教学运行的原始状态，希望材料具备3个特征，</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原始性，保持教学档案本来面貌，如原始教学记录、学生作业等，不突击加工；</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常态化，真实反映日常教学管理的稳定状态和实际水平；</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体系化，清晰展示教学质量保障各环节的有效运行和持续改进机制。学校只需按规定分类整理，提供清晰索引供专家审阅即可。</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十、为什么说“整改”是评价工作不可或缺的关键环节？</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整改是实现“以评促建、以评促改”的最终落脚点，专家反馈意见和自查问题明确了办学薄弱环节和改进方向，制定的整改方案和台账是学校未来1-2年内涵建设的施工图和任务书。通过扎实整改，能将外部评估意见转化为内部改进行动，解决人才培养中遇到的深层次问题，建立持续改进的质量保障长效机制，若缺少这一环节，评价仅停留在诊断层面，难以真正促进学校高质量发展。</w:t>
      </w:r>
    </w:p>
    <w:p>
      <w:pPr>
        <w:spacing w:line="360" w:lineRule="auto"/>
        <w:jc w:val="center"/>
        <w:outlineLvl w:val="0"/>
        <w:rPr>
          <w:rFonts w:ascii="黑体" w:hAnsi="黑体" w:eastAsia="黑体" w:cs="仿宋_GB2312"/>
          <w:sz w:val="24"/>
        </w:rPr>
      </w:pPr>
      <w:r>
        <w:rPr>
          <w:rFonts w:hint="eastAsia" w:ascii="黑体" w:hAnsi="黑体" w:eastAsia="黑体" w:cs="仿宋_GB2312"/>
          <w:sz w:val="24"/>
        </w:rPr>
        <w:t>第四部分  迎评准备与现场考察篇</w:t>
      </w:r>
    </w:p>
    <w:p>
      <w:pPr>
        <w:spacing w:line="360" w:lineRule="auto"/>
        <w:ind w:firstLine="480"/>
        <w:rPr>
          <w:rFonts w:ascii="黑体" w:hAnsi="黑体" w:eastAsia="黑体" w:cs="仿宋_GB2312"/>
          <w:sz w:val="24"/>
        </w:rPr>
      </w:pPr>
      <w:r>
        <w:rPr>
          <w:rFonts w:hint="eastAsia" w:ascii="仿宋_GB2312" w:hAnsi="仿宋_GB2312" w:eastAsia="仿宋_GB2312" w:cs="仿宋_GB2312"/>
          <w:sz w:val="24"/>
        </w:rPr>
        <w:t>迎评准备与现场考察是办学能力评价的关键环节，直接关系评价工作的顺利推进和学校办学成效的全面展现。以下结合学校评建工作部署及相关政策要求，梳理核心知识点。</w:t>
      </w:r>
    </w:p>
    <w:p>
      <w:pPr>
        <w:spacing w:line="360" w:lineRule="auto"/>
        <w:ind w:firstLine="472" w:firstLineChars="196"/>
        <w:rPr>
          <w:rFonts w:ascii="仿宋_GB2312" w:hAnsi="仿宋_GB2312" w:eastAsia="仿宋_GB2312" w:cs="仿宋_GB2312"/>
          <w:b/>
          <w:sz w:val="24"/>
        </w:rPr>
      </w:pPr>
      <w:r>
        <w:rPr>
          <w:rFonts w:hint="eastAsia" w:ascii="仿宋_GB2312" w:hAnsi="仿宋_GB2312" w:eastAsia="仿宋_GB2312" w:cs="仿宋_GB2312"/>
          <w:b/>
          <w:sz w:val="24"/>
        </w:rPr>
        <w:t>一、学校的“自评自建阶段”具体需要完成哪些任务？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自评自建是评建工作的核心基础阶段，需遵循“校级统筹、部门主责、全员参与”的工作格局，重点完成三项任务：</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全面梳理归档，各职能部门按分工系统梳理近三年工作材料与数据，各二级学院重点收集、整理、整改教学大纲、教案、试卷、毕业设计、实习报告等原始教学档案；</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健全制度标准，完善校级教学管理文件，建立覆盖各教学环节的质量标准，确保与学校“双高”建设要求相衔接；</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自查整改提升，对照评价指标体系系统总结成效亮点，精准查摆存在问题，立即投入整改，为后续工作筑牢基础，真正实现“以评促建”。</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二、在“自评整改阶段”学校的中心工作是什么？</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此阶段是自评自建的深化与成果固化期，核心围绕“精准”与“系统”推进三项中心工作：</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凝练审定自评报告，在各单位自评基础上汇总梳理初稿，经校内专家审阅、领导小组讨论确定终稿，确保报告紧扣指标、突出特色、数据详实；</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制定校院两级整改方案，针对自评发现的深层次问题，明确责任主体、整改时限和具体措施，形成闭环整改机制；</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系统准备支撑材料，依据审定的自评报告确定材料目录，完成编制建档与电子材料制备，为线上评价做好充分准备，确保材料与状态数据平台保持一致。</w:t>
      </w:r>
    </w:p>
    <w:p>
      <w:pPr>
        <w:spacing w:line="360" w:lineRule="auto"/>
        <w:ind w:firstLine="472" w:firstLineChars="196"/>
        <w:rPr>
          <w:rFonts w:ascii="黑体" w:hAnsi="黑体" w:eastAsia="黑体" w:cs="仿宋_GB2312"/>
          <w:sz w:val="24"/>
        </w:rPr>
      </w:pPr>
      <w:r>
        <w:rPr>
          <w:rFonts w:hint="eastAsia" w:ascii="仿宋_GB2312" w:hAnsi="仿宋_GB2312" w:eastAsia="仿宋_GB2312" w:cs="仿宋_GB2312"/>
          <w:b/>
          <w:sz w:val="24"/>
        </w:rPr>
        <w:t>三、线上评价阶段学校需要做好哪些配合工作？</w:t>
      </w:r>
    </w:p>
    <w:p>
      <w:pPr>
        <w:spacing w:line="360" w:lineRule="auto"/>
        <w:rPr>
          <w:rFonts w:ascii="仿宋_GB2312" w:hAnsi="仿宋_GB2312" w:eastAsia="仿宋_GB2312" w:cs="仿宋_GB2312"/>
          <w:sz w:val="24"/>
        </w:rPr>
      </w:pPr>
      <w:r>
        <w:rPr>
          <w:rFonts w:hint="eastAsia" w:ascii="黑体" w:hAnsi="黑体" w:eastAsia="黑体" w:cs="仿宋_GB2312"/>
          <w:sz w:val="24"/>
        </w:rPr>
        <w:t xml:space="preserve">    </w:t>
      </w:r>
      <w:r>
        <w:rPr>
          <w:rFonts w:hint="eastAsia" w:ascii="仿宋_GB2312" w:hAnsi="仿宋_GB2312" w:eastAsia="仿宋_GB2312" w:cs="仿宋_GB2312"/>
          <w:sz w:val="24"/>
        </w:rPr>
        <w:t>线上评价是专家进校前的重要环节，需以高效协同的态度做好配合：</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完备电子材料提交，编制案头材料、专家工作手册等迎评材料，确保上传的电子材料清晰完整、易于查阅；</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畅通沟通联络渠道，指定专人负责与专家组线上对接，及时响应疑问解答和材料补充需求；</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强化技术保障支撑，确保学校网络平台运行顺畅，保障线上访谈、会议等活动的音视频效果，充分展现学校管理规范性和协作效率。</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四、专家现场考察阶段，学校应如何展现“平常心和常态化”？</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展现“平常心和常态化”是学校自信办学的体现，需做到三个坚持：</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坚持教学秩序常态化，不随意调停课、不搞突击整治、不组织形式化欢迎活动，所有教学活动按原定课表正常开展；</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坚持材料呈现原始化，向专家开放日常教学档案和管理文件，杜绝包装造假，真实反映学校运行状态；</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坚持师生言行自然化，引导师生以主人翁姿态坦诚交流，如实反映情况，不刻意迎合，展现学校良好的育人生态。</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五、专家“随堂听课”主要关注什么？教师应如何准备？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专家随堂听课聚焦课堂教学原生态质量，核心关注五大维度：教学态度（备课充分度、精神状态）、教学内容（贴合大纲、重难点突出、融入行业前沿技术）、教学方法（学生主体地位、信息化手段应用、理实一体化实施）、教学效果（学生参与度、目标达成度）、课程思政（思政元素自然融入）。教师无需准备“表演课”，应遵循日常教学规范，认真备课设计教学环节，携带完整教学资料，以饱满热情和专业素养展现真实课堂。</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六、各类人员参加“座谈访谈”时，应注意什么？</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座谈访谈是师生参与评建的重要途径，需把握四项原则：</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态度坦诚务实，本着对学校负责的态度，实事求是谈成绩、说问题、提建议，不夸大、不隐瞒；</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准备精准充分，教师聚焦专业建设、课程教学、学生指导等核心问题，学生围绕学风建设、课程质量、实践实训等实际体验提前思考；</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表达清晰得体，举止文明、聚焦主题，避免无关表述；</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立足全局建言，基于学校发展立场提出建设性意见，避免个人化抱怨，展现全校“一盘棋”的凝聚力。</w:t>
      </w:r>
    </w:p>
    <w:p>
      <w:pPr>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七、学校应如何为专家组提供良好的工作与生活保障？</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保障工作需体现“便利、高效、温馨、合规”的原则：</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优化工作条件，准备安静整洁、网络畅通的专家工作室，配备齐全办公设备、案头材料及支撑材料索引；</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强化联络服务，配备熟悉校情、经验丰富的专职联络员，及时响应专家需求；</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规范生活安排，本着“从简高效”原则，妥善落实食宿交通，确保安全卫生方便；</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严守评估纪律，不安排无关活动、不赠送礼品礼金，营造风清气正的评估环境，彰显学校组织管理水平。</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八、如果评价结论是“待复评”或“暂缓通过”，学校应如何应对？</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需以“正视问题、标本兼治”的态度推进整改：</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提高政治站位，将反馈意见作为内涵发展的重要抓手，高度重视并纳入重点工作；</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深挖问题根源，逐项梳理专家指出的问题与自查隐患，从体制机制层面分析成因；</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制定攻坚方案，建立详细整改台账，明确时间表、路线图、责任人与验收标准；</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狠抓落地见效，集中全校资源推进整改，推动深层次改革，健全长效质量保障机制，以“以评促改、以评促强”的成效力争复评突破。</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九、评价工作对学校的内部质量保障体系建设提出了什么长远要求？</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评价的终极目标是构建常态化、制度化的内部质量保障“免疫系统”，具体要求包括：</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树立全员质量意识，将质量要求内化为师生共同价值追求和自觉行为；</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完善全链条标准体系，覆盖专业、课程、教材、师资、实习实训等所有核心环节；</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建立常态化自评机制，定期收集状态数据，开展专业评估、课程评估等专项评估；</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形成闭环改进机制，将评估结果、用人单位反馈、学生诉求等转化为培养过程优化、教学管理改进的具体举措，支撑学校高质量发展。</w:t>
      </w:r>
    </w:p>
    <w:p>
      <w:pPr>
        <w:spacing w:line="360" w:lineRule="auto"/>
        <w:jc w:val="center"/>
        <w:outlineLvl w:val="0"/>
        <w:rPr>
          <w:rFonts w:ascii="黑体" w:hAnsi="黑体" w:eastAsia="黑体" w:cs="仿宋_GB2312"/>
          <w:sz w:val="24"/>
        </w:rPr>
      </w:pPr>
      <w:r>
        <w:rPr>
          <w:rFonts w:hint="eastAsia" w:ascii="黑体" w:hAnsi="黑体" w:eastAsia="黑体" w:cs="仿宋_GB2312"/>
          <w:sz w:val="24"/>
        </w:rPr>
        <w:t>第五部分  全员参与和文化建设篇</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全员参与是办学能力评价的核心要求，文化建设是评建工作的精神支撑。本篇章紧密衔接国</w:t>
      </w:r>
      <w:r>
        <w:rPr>
          <w:rFonts w:hint="eastAsia" w:ascii="仿宋_GB2312" w:hAnsi="仿宋_GB2312" w:eastAsia="仿宋_GB2312" w:cs="仿宋_GB2312"/>
          <w:color w:val="000000" w:themeColor="text1"/>
          <w:sz w:val="24"/>
          <w14:textFill>
            <w14:solidFill>
              <w14:schemeClr w14:val="tx1"/>
            </w14:solidFill>
          </w14:textFill>
        </w:rPr>
        <w:t>家及自治区级</w:t>
      </w:r>
      <w:r>
        <w:rPr>
          <w:rFonts w:hint="eastAsia" w:ascii="仿宋_GB2312" w:hAnsi="仿宋_GB2312" w:eastAsia="仿宋_GB2312" w:cs="仿宋_GB2312"/>
          <w:sz w:val="24"/>
        </w:rPr>
        <w:t>评价政策精神，聚焦“还原办学本真”的考察导向，明确各岗位责任与文化建设核心，助力形成“人人都是评建主体、事事关乎评估成效”的良好局面。</w:t>
      </w:r>
    </w:p>
    <w:p>
      <w:pPr>
        <w:spacing w:line="360" w:lineRule="auto"/>
        <w:ind w:firstLine="472" w:firstLineChars="196"/>
        <w:rPr>
          <w:rFonts w:ascii="仿宋_GB2312" w:hAnsi="仿宋_GB2312" w:eastAsia="仿宋_GB2312" w:cs="仿宋_GB2312"/>
          <w:b/>
          <w:sz w:val="24"/>
        </w:rPr>
      </w:pPr>
      <w:r>
        <w:rPr>
          <w:rFonts w:hint="eastAsia" w:ascii="仿宋_GB2312" w:hAnsi="仿宋_GB2312" w:eastAsia="仿宋_GB2312" w:cs="仿宋_GB2312"/>
          <w:b/>
          <w:sz w:val="24"/>
        </w:rPr>
        <w:t>一、二级学院在评建工作中的主体责任体现在哪些方面？</w:t>
      </w:r>
    </w:p>
    <w:p>
      <w:pPr>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rPr>
        <w:t>二级院系是评建工作的主阵地，其主体责任直接决定评建整体成效。</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统筹落实学校部署，成立评建工作办公室，制定详细计划，将评估指标分解到人、落到实处；</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夯实教学基础保障，全面负责本单位教学档案的规范建设与管理，确保材料真实完整；</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深化内涵建设，对照评价指标系统推进本单位专业建设、课程改革、师资培养、实践教学等核心工作，提炼各类专业特色与项目亮点；</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组织师生全员参与，广泛动员教师做好听课、访谈准备，引导学生了解评估意义，主动融入评建工作。</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二、专任教师除了上好课，还可以在哪些方面为评建做贡献？</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专任教师作为人才培养核心力量，需全方位对接评估要求。</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深度参与教学建设，主动投身人才培养方案修订、课程标准制定、课程思政设计，结合行业新技术与“数字化教学”需求更新教学内容；</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规范教学文档管理，精心编制并保管好教学大纲、教案、试卷、毕业设计指导记录等材料，体现教学过程严谨性，确保与日常教学原貌一致；</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推动教研科研反哺教学，将科研成果转化为教学资源，助力专业群的先进性与创新性提升；</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强化育人责任，担任学业导师参与学生指导与访谈，展现教师的育人情怀与责任担当；</w:t>
      </w:r>
      <w:r>
        <w:rPr>
          <w:rFonts w:hint="eastAsia" w:ascii="仿宋_GB2312" w:hAnsi="仿宋_GB2312" w:eastAsia="仿宋_GB2312" w:cs="仿宋_GB2312"/>
          <w:b/>
          <w:bCs/>
          <w:sz w:val="24"/>
        </w:rPr>
        <w:t>五是</w:t>
      </w:r>
      <w:r>
        <w:rPr>
          <w:rFonts w:hint="eastAsia" w:ascii="仿宋_GB2312" w:hAnsi="仿宋_GB2312" w:eastAsia="仿宋_GB2312" w:cs="仿宋_GB2312"/>
          <w:sz w:val="24"/>
        </w:rPr>
        <w:t>积极建言献策，结合教学实践为学校专业优化、实训条件改善、数字化教学升级等提出建设性意见，助力“以评促建”。</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三、行政管理人员如何理解“管理育人”“服务育人”在评估中的体现？</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“管理育人、服务育人”是评估中治理水平的重要考察点，体现在每一个管理服务细节中。</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制度设计凸显育人与战略导向，制定的规章制度需以人为本，既契合学生成长与教师发展需求，又对接学校建设发展目标；</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管理过程融入育人内涵，以热情态度、高效办事效率、公平公正原则开展工作，潜移默化培养学生规则意识与职业素养；</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服务保障优化育人环境，确保校园安全整洁、信息服务高效、行政流程顺畅，为教学科研与项目推进提供坚实支撑。专家通过查阅资料、走访访谈，直接感受学校治理水平与育人文化，规范温馨的管理服务本身就是高质量育人的体现。</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四、学生在评估中最真实的角色是什么？应如何展现良好风貌？</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学生是学校人才培养质量的直接体现者，而非“演员”，是学校建设成效的见证者、体验者和展示者。展现良好风貌需自然真实，课堂上认真听讲、积极互动，凸显“笃学、善思、健身、强技”的学风；校园里文明礼貌、爱护环境，展现良好行为修养；访谈中坦诚分享学习收获、实训感悟与成长体会，客观反映对教学、服务的诉求；技能上，在实验实训中熟练展示专业核心操作能力。学生自信的状态、礼貌的言行、扎实的技能，都是对学校办学成效最有力的证明。</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五、后勤、教辅等岗位人员如何通过本职工作为评估添彩？</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后勤、教辅人员是学校顺畅运转与推进建设的重要保障，需以本职工作助力评建。图书管理员提供专业文献信息服务，支撑教学科研与项目研究需求；实验员规范实训设备管理与维护，保障实践教学安全高效开展；网络管理员确保数字化校园系统安全稳定运行；后勤员工打造整洁校园环境、提供可口饭菜与及时维修服务，营造温馨校园氛围。评估期间专家会实地走访相关场所，大家只需坚守岗位、以专业友善态度做好本职工作，就能让专家感受到学校管理服务的“最后一公里”畅通温暖，展现真实办学状态。</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六、营造积极的“评估文化”其核心内涵是什么？</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积极的“评估文化”本质是融入日常的持续质量文化，核心内涵包括如下。</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主体意识，让全体师生员工明确自身是质量保障的主体，而非被动被评估者；</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反思精神，主动对照评价指标查找不足，勇于自我改进；</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数据思维，尊重事实、用数据说话，确保与人才培养状态数据平台数据一致；</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开放态度，将内外部评价视为学习进步的机遇；</w:t>
      </w:r>
      <w:r>
        <w:rPr>
          <w:rFonts w:hint="eastAsia" w:ascii="仿宋_GB2312" w:hAnsi="仿宋_GB2312" w:eastAsia="仿宋_GB2312" w:cs="仿宋_GB2312"/>
          <w:b/>
          <w:bCs/>
          <w:sz w:val="24"/>
        </w:rPr>
        <w:t>五是</w:t>
      </w:r>
      <w:r>
        <w:rPr>
          <w:rFonts w:hint="eastAsia" w:ascii="仿宋_GB2312" w:hAnsi="仿宋_GB2312" w:eastAsia="仿宋_GB2312" w:cs="仿宋_GB2312"/>
          <w:sz w:val="24"/>
        </w:rPr>
        <w:t>协同观念，打破部门壁垒，围绕实现共同的质量目标协同发力。这种文化能为学校注入持续自我完善的内生动力，支撑学校建设长远推进。</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七、在评建过程中，如何平衡“加快整改”与“尊重规律”的关？</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需坚持“积极作为不违背规律”的原则，衔接学校发展建设中长期规划。对于管理规范、教学文件完善等软件建设，可集中力量加快补齐短板，快速见效；对于师资结构优化、课程内涵建设、学风养成等长期任务，需遵循教育规律与行业发展规律，制定科学中长期计划，持之以恒推进，杜绝“运动式”速成。评估鼓励基于现实的可持续改进，整改方案需兼顾短期措施与长期策略，将评建热情转化为按规律推进学校高质量发展的持久动力，避免急功近利。</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八、面对评建任务，如何有效防范和克服“形式主义”？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核心是坚守“以评促建”本质。</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端正思想认识，明确评建目的是提升人才培养能力，而非堆砌专家不看、后续无用的“精美材料”；</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坚持原始常态，强调呈现原始、常态的材料，反对突击制造脱离实际的表格报告，确保材料反映真实办学状态；</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注重工作实效，以“问题是否解决、质量是否提升”为检验标准，而非单纯追求“完成任务”；</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坚持精简高效，学校层面统一协调各部门工作，避免层层加码与重复劳动，让师生集中精力投入到实实在在的内涵建设上。</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九、评建工作对学校的校园文化建设将产生哪些深远影响？</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评建过程是校园文化的淬炼与升华。</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强化“质量文化”，让追求卓越、持续</w:t>
      </w:r>
      <w:bookmarkStart w:id="8" w:name="_GoBack"/>
      <w:bookmarkEnd w:id="8"/>
      <w:r>
        <w:rPr>
          <w:rFonts w:hint="eastAsia" w:ascii="仿宋_GB2312" w:hAnsi="仿宋_GB2312" w:eastAsia="仿宋_GB2312" w:cs="仿宋_GB2312"/>
          <w:sz w:val="24"/>
        </w:rPr>
        <w:t>改进成为全校共同价值追求；</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凝聚“家园文化”，通过全员参与评建、共担责任，增强师生归属感与认同感，形成发展共同体；</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塑造“责任文化”，让每位师生都明确自身在人才培养体系中的职责，凸显“育人有责、建校有责”理念；</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弘扬“实干文化”，崇尚求真务实，反对弄虚作假，形成脚踏实地的工作作风，为学校长远发展提供精神支撑。这些文化成果将成为学校最宝贵的精神财富，注入源源不断的发展动力。</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十、评估结束后，我们应如何将评建成果转化为持续发展的动力？</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评估结束是新一轮高质量发展的起点，成果转化需抓好四方面。</w:t>
      </w:r>
      <w:r>
        <w:rPr>
          <w:rFonts w:hint="eastAsia" w:ascii="仿宋_GB2312" w:hAnsi="仿宋_GB2312" w:eastAsia="仿宋_GB2312" w:cs="仿宋_GB2312"/>
          <w:b/>
          <w:bCs/>
          <w:sz w:val="24"/>
        </w:rPr>
        <w:t>一是</w:t>
      </w:r>
      <w:r>
        <w:rPr>
          <w:rFonts w:hint="eastAsia" w:ascii="仿宋_GB2312" w:hAnsi="仿宋_GB2312" w:eastAsia="仿宋_GB2312" w:cs="仿宋_GB2312"/>
          <w:sz w:val="24"/>
        </w:rPr>
        <w:t>固化制度规范，将评建中行之有效的做法、流程、标准以制度形式固定，融入日常管理全过程；</w:t>
      </w:r>
      <w:r>
        <w:rPr>
          <w:rFonts w:hint="eastAsia" w:ascii="仿宋_GB2312" w:hAnsi="仿宋_GB2312" w:eastAsia="仿宋_GB2312" w:cs="仿宋_GB2312"/>
          <w:b/>
          <w:bCs/>
          <w:sz w:val="24"/>
        </w:rPr>
        <w:t>二是</w:t>
      </w:r>
      <w:r>
        <w:rPr>
          <w:rFonts w:hint="eastAsia" w:ascii="仿宋_GB2312" w:hAnsi="仿宋_GB2312" w:eastAsia="仿宋_GB2312" w:cs="仿宋_GB2312"/>
          <w:sz w:val="24"/>
        </w:rPr>
        <w:t>延续质量保障机制，健全自评自查、数据监测、反馈改进的闭环体系，实现常态化运行；</w:t>
      </w:r>
      <w:r>
        <w:rPr>
          <w:rFonts w:hint="eastAsia" w:ascii="仿宋_GB2312" w:hAnsi="仿宋_GB2312" w:eastAsia="仿宋_GB2312" w:cs="仿宋_GB2312"/>
          <w:b/>
          <w:bCs/>
          <w:sz w:val="24"/>
        </w:rPr>
        <w:t>三是</w:t>
      </w:r>
      <w:r>
        <w:rPr>
          <w:rFonts w:hint="eastAsia" w:ascii="仿宋_GB2312" w:hAnsi="仿宋_GB2312" w:eastAsia="仿宋_GB2312" w:cs="仿宋_GB2312"/>
          <w:sz w:val="24"/>
        </w:rPr>
        <w:t>传承评建精神，将团结协作、攻坚克难、追求卓越的风貌延续到“双高”建设、专业升级、数字化新生态构建等各项工作中；</w:t>
      </w:r>
      <w:r>
        <w:rPr>
          <w:rFonts w:hint="eastAsia" w:ascii="仿宋_GB2312" w:hAnsi="仿宋_GB2312" w:eastAsia="仿宋_GB2312" w:cs="仿宋_GB2312"/>
          <w:b/>
          <w:bCs/>
          <w:sz w:val="24"/>
        </w:rPr>
        <w:t>四是</w:t>
      </w:r>
      <w:r>
        <w:rPr>
          <w:rFonts w:hint="eastAsia" w:ascii="仿宋_GB2312" w:hAnsi="仿宋_GB2312" w:eastAsia="仿宋_GB2312" w:cs="仿宋_GB2312"/>
          <w:sz w:val="24"/>
        </w:rPr>
        <w:t>聚焦长远发展，将整改任务与学校“十五五”规划乃至更长时期的发展规划紧密结合，一张蓝图绘到底，让评估真正成为学校高质量发展的里程碑。</w:t>
      </w:r>
    </w:p>
    <w:sectPr>
      <w:footerReference r:id="rId3" w:type="default"/>
      <w:pgSz w:w="7314" w:h="10376"/>
      <w:pgMar w:top="873" w:right="669" w:bottom="873" w:left="669"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A11F7"/>
    <w:rsid w:val="00045256"/>
    <w:rsid w:val="00104608"/>
    <w:rsid w:val="00130AFE"/>
    <w:rsid w:val="00196630"/>
    <w:rsid w:val="00323A07"/>
    <w:rsid w:val="003B006B"/>
    <w:rsid w:val="003B6C8D"/>
    <w:rsid w:val="00450C34"/>
    <w:rsid w:val="005534B3"/>
    <w:rsid w:val="005C63D4"/>
    <w:rsid w:val="00737805"/>
    <w:rsid w:val="00C1773B"/>
    <w:rsid w:val="00C55FF4"/>
    <w:rsid w:val="00CA10BA"/>
    <w:rsid w:val="00CF2EF2"/>
    <w:rsid w:val="00D064E7"/>
    <w:rsid w:val="00E031CC"/>
    <w:rsid w:val="00E06162"/>
    <w:rsid w:val="00ED5C73"/>
    <w:rsid w:val="011D4D49"/>
    <w:rsid w:val="03E569A6"/>
    <w:rsid w:val="045E4A7A"/>
    <w:rsid w:val="05360002"/>
    <w:rsid w:val="05674524"/>
    <w:rsid w:val="063740C1"/>
    <w:rsid w:val="06903C8A"/>
    <w:rsid w:val="0A151924"/>
    <w:rsid w:val="0BF8738F"/>
    <w:rsid w:val="0C173B45"/>
    <w:rsid w:val="0C6F10AD"/>
    <w:rsid w:val="0D030B04"/>
    <w:rsid w:val="0E0A11F7"/>
    <w:rsid w:val="0F203E5D"/>
    <w:rsid w:val="146A0FA6"/>
    <w:rsid w:val="14AE1700"/>
    <w:rsid w:val="15B759D3"/>
    <w:rsid w:val="189903BB"/>
    <w:rsid w:val="19670470"/>
    <w:rsid w:val="1F2B7850"/>
    <w:rsid w:val="1FD8E70E"/>
    <w:rsid w:val="20446F2E"/>
    <w:rsid w:val="26DD7212"/>
    <w:rsid w:val="27184507"/>
    <w:rsid w:val="27E93A21"/>
    <w:rsid w:val="2CAB2CFB"/>
    <w:rsid w:val="300F7EE0"/>
    <w:rsid w:val="33DF170A"/>
    <w:rsid w:val="348526A5"/>
    <w:rsid w:val="38D109BE"/>
    <w:rsid w:val="3A33372F"/>
    <w:rsid w:val="3C7B55CA"/>
    <w:rsid w:val="3D287DE3"/>
    <w:rsid w:val="3D35643F"/>
    <w:rsid w:val="3FC85861"/>
    <w:rsid w:val="44222C17"/>
    <w:rsid w:val="45881F96"/>
    <w:rsid w:val="45C86CEF"/>
    <w:rsid w:val="471B5E24"/>
    <w:rsid w:val="488064AC"/>
    <w:rsid w:val="49635000"/>
    <w:rsid w:val="4D2F3EA0"/>
    <w:rsid w:val="4D981301"/>
    <w:rsid w:val="4ED54BCE"/>
    <w:rsid w:val="512343F9"/>
    <w:rsid w:val="52BF22C4"/>
    <w:rsid w:val="56B9064F"/>
    <w:rsid w:val="57B06F0B"/>
    <w:rsid w:val="583F688B"/>
    <w:rsid w:val="5A67793B"/>
    <w:rsid w:val="5AF63BE6"/>
    <w:rsid w:val="5BBD4F30"/>
    <w:rsid w:val="62DE2923"/>
    <w:rsid w:val="647E0BF9"/>
    <w:rsid w:val="67DB3138"/>
    <w:rsid w:val="6CC74C94"/>
    <w:rsid w:val="71CD57FD"/>
    <w:rsid w:val="743B4068"/>
    <w:rsid w:val="792C5B9F"/>
    <w:rsid w:val="7A6F552B"/>
    <w:rsid w:val="7DCB1BBD"/>
    <w:rsid w:val="7E830A01"/>
    <w:rsid w:val="9877686A"/>
    <w:rsid w:val="9DF45144"/>
    <w:rsid w:val="BBDFAAAC"/>
    <w:rsid w:val="DEEFF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NOTE_Normal"/>
    <w:basedOn w:val="1"/>
    <w:qFormat/>
    <w:uiPriority w:val="0"/>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1674</Words>
  <Characters>9548</Characters>
  <Lines>79</Lines>
  <Paragraphs>22</Paragraphs>
  <TotalTime>82</TotalTime>
  <ScaleCrop>false</ScaleCrop>
  <LinksUpToDate>false</LinksUpToDate>
  <CharactersWithSpaces>11200</CharactersWithSpaces>
  <Application>WPS Office_12.8.2.15269_F1E327BC-269C-435d-A152-05C5408002CA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2025-12-15T20:18:00Z</dcterms:created>
  <dc:creator>DWY</dc:creator>
  <cp:lastModifiedBy>苏亚琴</cp:lastModifiedBy>
  <dcterms:modified xsi:type="dcterms:W3CDTF">2025-12-15T17:17:06Z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2052-12.8.2.15269</vt:lpwstr>
  </property>
  <property fmtid="{D5CDD505-2E9C-101B-9397-08002B2CF9AE}" pid="3" name="ICV">
    <vt:lpwstr>1C002CC7CA0AAA34C99B3F69F87EE36C_42</vt:lpwstr>
  </property>
</Properties>
</file>